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8"/>
          <w:szCs w:val="28"/>
        </w:rPr>
      </w:pPr>
      <w:r w:rsidDel="00000000" w:rsidR="00000000" w:rsidRPr="00000000">
        <w:rPr>
          <w:b w:val="1"/>
          <w:bCs w:val="1"/>
          <w:sz w:val="28"/>
          <w:szCs w:val="28"/>
          <w:rtl w:val="0"/>
        </w:rPr>
        <w:t xml:space="preserve">Rockefeller Leadership Fellows Policy Brief </w:t>
      </w:r>
    </w:p>
    <w:p w:rsidR="00000000" w:rsidDel="00000000" w:rsidP="00000000" w:rsidRDefault="00000000" w:rsidRPr="00000000" w14:paraId="00000002">
      <w:pPr>
        <w:spacing w:after="0" w:line="240" w:lineRule="auto"/>
        <w:jc w:val="center"/>
        <w:rPr>
          <w:sz w:val="24"/>
          <w:szCs w:val="24"/>
        </w:rPr>
      </w:pPr>
      <w:r w:rsidDel="00000000" w:rsidR="00000000" w:rsidRPr="00000000">
        <w:rPr>
          <w:sz w:val="24"/>
          <w:szCs w:val="24"/>
          <w:rtl w:val="0"/>
        </w:rPr>
        <w:t xml:space="preserve">Emilia Williams, Claire Cohenuram, Kyyen Left Hand Thunder</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300" w:lineRule="auto"/>
        <w:jc w:val="center"/>
        <w:rPr>
          <w:sz w:val="28"/>
          <w:szCs w:val="28"/>
        </w:rPr>
      </w:pPr>
      <w:r w:rsidDel="00000000" w:rsidR="00000000" w:rsidRPr="00000000">
        <w:rPr>
          <w:i w:val="1"/>
          <w:iCs w:val="1"/>
          <w:sz w:val="28"/>
          <w:szCs w:val="28"/>
          <w:rtl w:val="0"/>
        </w:rPr>
        <w:t xml:space="preserve">Expanding Rural Apprenticeship Programs to Fill the Renewable Energy Workforce Gap</w:t>
      </w:r>
      <w:r w:rsidDel="00000000" w:rsidR="00000000" w:rsidRPr="00000000">
        <w:rPr>
          <w:rtl w:val="0"/>
        </w:rPr>
      </w:r>
    </w:p>
    <w:p w:rsidR="00000000" w:rsidDel="00000000" w:rsidP="00000000" w:rsidRDefault="00000000" w:rsidRPr="00000000" w14:paraId="00000005">
      <w:pPr>
        <w:pStyle w:val="Heading1"/>
        <w:rPr>
          <w:sz w:val="24"/>
          <w:szCs w:val="24"/>
        </w:rPr>
      </w:pPr>
      <w:bookmarkStart w:colFirst="0" w:colLast="0" w:name="_xgp97m4dhuip" w:id="0"/>
      <w:bookmarkEnd w:id="0"/>
      <w:r w:rsidDel="00000000" w:rsidR="00000000" w:rsidRPr="00000000">
        <w:rPr>
          <w:sz w:val="24"/>
          <w:szCs w:val="24"/>
          <w:rtl w:val="0"/>
        </w:rPr>
        <w:t xml:space="preserve">I. Executive Summary</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ind w:firstLine="720"/>
        <w:rPr>
          <w:sz w:val="24"/>
          <w:szCs w:val="24"/>
        </w:rPr>
      </w:pPr>
      <w:r w:rsidDel="00000000" w:rsidR="00000000" w:rsidRPr="00000000">
        <w:rPr>
          <w:sz w:val="24"/>
          <w:szCs w:val="24"/>
          <w:rtl w:val="0"/>
        </w:rPr>
        <w:t xml:space="preserve">In February 2026, the White House published an article titled “American Energy Dominance is Back Under President Trump,” highlighting the ever-important nature of harnessing domestic energy sources (White House 2026). While the administration is focused on natural gas and coal, evidence abounds that renewable resources will be crucial to meeting rising energy demand (World Resources Institute 2025). The Empowering Rural America (ERA) program, a $9.6 billion initiative aimed at helping rural electric cooperatives install renewable energy, remains in place under the Trump Administration and highlights the bipartisan nature of deploying stable energy across America. The ERA, however, fails to address the gap in skilled workers who are capable of performing this work. In the following brief, we analyze existing energy policy, synthesize evidence, and present potential political actions to address the energy workforce gap.</w:t>
      </w:r>
    </w:p>
    <w:p w:rsidR="00000000" w:rsidDel="00000000" w:rsidP="00000000" w:rsidRDefault="00000000" w:rsidRPr="00000000" w14:paraId="00000008">
      <w:pPr>
        <w:pStyle w:val="Heading1"/>
        <w:rPr>
          <w:sz w:val="24"/>
          <w:szCs w:val="24"/>
        </w:rPr>
      </w:pPr>
      <w:bookmarkStart w:colFirst="0" w:colLast="0" w:name="_l8rc73oxczy0" w:id="1"/>
      <w:bookmarkEnd w:id="1"/>
      <w:r w:rsidDel="00000000" w:rsidR="00000000" w:rsidRPr="00000000">
        <w:rPr>
          <w:sz w:val="24"/>
          <w:szCs w:val="24"/>
          <w:rtl w:val="0"/>
        </w:rPr>
        <w:t xml:space="preserve">II. Background: The Labor Shortage Problem </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ind w:firstLine="720"/>
        <w:rPr>
          <w:sz w:val="24"/>
          <w:szCs w:val="24"/>
        </w:rPr>
      </w:pPr>
      <w:r w:rsidDel="00000000" w:rsidR="00000000" w:rsidRPr="00000000">
        <w:rPr>
          <w:sz w:val="24"/>
          <w:szCs w:val="24"/>
          <w:rtl w:val="0"/>
        </w:rPr>
        <w:t xml:space="preserve">Approximately 400,000 to 2 million skilled trade jobs are currently unfilled or projected to be needed in the United States (U.S. Bureau of Labor Statistics)</w:t>
      </w:r>
      <w:r w:rsidDel="00000000" w:rsidR="00000000" w:rsidRPr="00000000">
        <w:rPr>
          <w:sz w:val="24"/>
          <w:szCs w:val="24"/>
          <w:rtl w:val="0"/>
        </w:rPr>
        <w:t xml:space="preserve">.</w:t>
      </w:r>
      <w:r w:rsidDel="00000000" w:rsidR="00000000" w:rsidRPr="00000000">
        <w:rPr>
          <w:sz w:val="24"/>
          <w:szCs w:val="24"/>
          <w:rtl w:val="0"/>
        </w:rPr>
        <w:t xml:space="preserve"> The demand for vocational and trade positions is massive, with some projections indicating a need for 2.1 million new manufacturing workers by 2030 (U.S. Bureau of Labor Statistics, 2026). However, the solution may lie within the renewable domestic energy transition sector; even as worker numbers continue to decline, industry demand remains consistent, driven by infrastructure needs. According to the United Nations, wind and solar</w:t>
      </w:r>
      <w:r w:rsidDel="00000000" w:rsidR="00000000" w:rsidRPr="00000000">
        <w:rPr>
          <w:sz w:val="24"/>
          <w:szCs w:val="24"/>
          <w:rtl w:val="0"/>
        </w:rPr>
        <w:t xml:space="preserve"> energy sector jobs already outnumber coal and natural gas jobs, employing almost 35 million people worldwide</w:t>
      </w:r>
      <w:r w:rsidDel="00000000" w:rsidR="00000000" w:rsidRPr="00000000">
        <w:rPr>
          <w:sz w:val="24"/>
          <w:szCs w:val="24"/>
          <w:rtl w:val="0"/>
        </w:rPr>
        <w:t xml:space="preserve">.</w:t>
      </w:r>
      <w:r w:rsidDel="00000000" w:rsidR="00000000" w:rsidRPr="00000000">
        <w:rPr>
          <w:sz w:val="24"/>
          <w:szCs w:val="24"/>
          <w:rtl w:val="0"/>
        </w:rPr>
        <w:t xml:space="preserve"> In 2023, 16.2 million people were employed in the renewable energy sector, up from 13.7 million in 2022. The U.S. </w:t>
      </w:r>
      <w:r w:rsidDel="00000000" w:rsidR="00000000" w:rsidRPr="00000000">
        <w:rPr>
          <w:sz w:val="24"/>
          <w:szCs w:val="24"/>
          <w:rtl w:val="0"/>
        </w:rPr>
        <w:t xml:space="preserve">Bureau</w:t>
      </w:r>
      <w:r w:rsidDel="00000000" w:rsidR="00000000" w:rsidRPr="00000000">
        <w:rPr>
          <w:sz w:val="24"/>
          <w:szCs w:val="24"/>
          <w:rtl w:val="0"/>
        </w:rPr>
        <w:t xml:space="preserve"> of Labor Statistics lists solar installers and wind turbine technicians as among the nation's fastest-growing career paths. These positions are more accessible, as they do not require a four-year degree; they often require a high school diploma supplemented by postsecondary non-degree credentials and extensive on-the-job training. </w:t>
      </w:r>
    </w:p>
    <w:p w:rsidR="00000000" w:rsidDel="00000000" w:rsidP="00000000" w:rsidRDefault="00000000" w:rsidRPr="00000000" w14:paraId="0000000B">
      <w:pPr>
        <w:ind w:firstLine="720"/>
        <w:rPr>
          <w:sz w:val="24"/>
          <w:szCs w:val="24"/>
        </w:rPr>
      </w:pPr>
      <w:r w:rsidDel="00000000" w:rsidR="00000000" w:rsidRPr="00000000">
        <w:rPr>
          <w:sz w:val="24"/>
          <w:szCs w:val="24"/>
          <w:rtl w:val="0"/>
        </w:rPr>
        <w:t xml:space="preserve">According to a United Nations report, jobs in the renewable energy sector grew by 70% over the last decade, with renewable energy investment reaching $2 trillion in 2024, outpacing investment in coal and natural gas. While the cost may seem high, the transition could save $4.2 trillion annually by 2030 through reduced pollution and climate damage. On the other hand, coal and natural gas received $7 trillion in support; the cost is more than tax cuts, it is also the unpriced health and environmental costs. </w:t>
      </w:r>
      <w:r w:rsidDel="00000000" w:rsidR="00000000" w:rsidRPr="00000000">
        <w:rPr>
          <w:sz w:val="24"/>
          <w:szCs w:val="24"/>
          <w:rtl w:val="0"/>
        </w:rPr>
        <w:t xml:space="preserve">Acknowledging that nearly 1 in 3 people living in the US, an estimated 120 million, are exposed to unhealthy levels of air pollution (Union of Concerned Scientists, 2025). These impacts harm the individual and the environment, so phasing out finite coal and natural gas is a key strategy for reducing them.</w:t>
      </w:r>
      <w:r w:rsidDel="00000000" w:rsidR="00000000" w:rsidRPr="00000000">
        <w:rPr>
          <w:rtl w:val="0"/>
        </w:rPr>
      </w:r>
    </w:p>
    <w:p w:rsidR="00000000" w:rsidDel="00000000" w:rsidP="00000000" w:rsidRDefault="00000000" w:rsidRPr="00000000" w14:paraId="0000000C">
      <w:pPr>
        <w:ind w:left="0" w:firstLine="720"/>
        <w:rPr/>
      </w:pPr>
      <w:r w:rsidDel="00000000" w:rsidR="00000000" w:rsidRPr="00000000">
        <w:rPr>
          <w:sz w:val="24"/>
          <w:szCs w:val="24"/>
          <w:rtl w:val="0"/>
        </w:rPr>
        <w:t xml:space="preserve">In addition to economic potential, the financial incentives for a domestic workforce are optimistic</w:t>
      </w:r>
      <w:r w:rsidDel="00000000" w:rsidR="00000000" w:rsidRPr="00000000">
        <w:rPr>
          <w:sz w:val="24"/>
          <w:szCs w:val="24"/>
          <w:rtl w:val="0"/>
        </w:rPr>
        <w:t xml:space="preserve">. </w:t>
      </w:r>
      <w:r w:rsidDel="00000000" w:rsidR="00000000" w:rsidRPr="00000000">
        <w:rPr>
          <w:sz w:val="24"/>
          <w:szCs w:val="24"/>
          <w:rtl w:val="0"/>
        </w:rPr>
        <w:t xml:space="preserve">Wind and solar energy positions consistently offer wages 8–19% higher than the national average, providing lower-income workers a premium of $5–10 per hour over comparable traditional roles (</w:t>
      </w:r>
      <w:r w:rsidDel="00000000" w:rsidR="00000000" w:rsidRPr="00000000">
        <w:rPr>
          <w:sz w:val="24"/>
          <w:szCs w:val="24"/>
          <w:rtl w:val="0"/>
        </w:rPr>
        <w:t xml:space="preserve">Muro et al., 2019).</w:t>
      </w:r>
      <w:r w:rsidDel="00000000" w:rsidR="00000000" w:rsidRPr="00000000">
        <w:rPr>
          <w:sz w:val="24"/>
          <w:szCs w:val="24"/>
          <w:rtl w:val="0"/>
        </w:rPr>
        <w:t xml:space="preserve"> Although this baseline was the standard before the Inflation Reduction Act of 2022, th</w:t>
      </w:r>
      <w:r w:rsidDel="00000000" w:rsidR="00000000" w:rsidRPr="00000000">
        <w:rPr>
          <w:sz w:val="24"/>
          <w:szCs w:val="24"/>
          <w:rtl w:val="0"/>
        </w:rPr>
        <w:t xml:space="preserve">e post-IRA data</w:t>
      </w:r>
      <w:r w:rsidDel="00000000" w:rsidR="00000000" w:rsidRPr="00000000">
        <w:rPr>
          <w:sz w:val="24"/>
          <w:szCs w:val="24"/>
          <w:rtl w:val="0"/>
        </w:rPr>
        <w:t xml:space="preserve"> support that the renewable sector remains a superior job creator, generating three times as many positions per dollar invested as the coal and natural gas industries. Renewable energy is also sustainable, as the International Energy Agency reports, 5 million coal and natural gas roles may phase out by 2030; they will be replaced by 14 million new wind and solar energy jobs, resulting in a net domestic and global gain of 9 million high-quality positions. Overall, this has positive implications for the environment, economy, and well-being of American people. </w:t>
      </w:r>
      <w:r w:rsidDel="00000000" w:rsidR="00000000" w:rsidRPr="00000000">
        <w:rPr>
          <w:rtl w:val="0"/>
        </w:rPr>
      </w:r>
    </w:p>
    <w:p w:rsidR="00000000" w:rsidDel="00000000" w:rsidP="00000000" w:rsidRDefault="00000000" w:rsidRPr="00000000" w14:paraId="0000000D">
      <w:pPr>
        <w:ind w:firstLine="720"/>
        <w:rPr>
          <w:sz w:val="24"/>
          <w:szCs w:val="24"/>
        </w:rPr>
      </w:pPr>
      <w:r w:rsidDel="00000000" w:rsidR="00000000" w:rsidRPr="00000000">
        <w:rPr>
          <w:sz w:val="24"/>
          <w:szCs w:val="24"/>
          <w:rtl w:val="0"/>
        </w:rPr>
        <w:t xml:space="preserve">Another concern is that the traditional four-to-five-year apprenticeship structure may no longer align with industry shifts. Companies face a loss of “tribal knowledge” or institutional expertise as veterans depart, while apprentices often find their newly acquired skills already outdated by the time they finish their training. In addition to the National Electrical Contractors Association reporting that 70 percent of electrical supervisors are baby boomers, a massive leadership vacuum is </w:t>
      </w:r>
      <w:r w:rsidDel="00000000" w:rsidR="00000000" w:rsidRPr="00000000">
        <w:rPr>
          <w:sz w:val="24"/>
          <w:szCs w:val="24"/>
          <w:rtl w:val="0"/>
        </w:rPr>
        <w:t xml:space="preserve">imminent</w:t>
      </w:r>
      <w:r w:rsidDel="00000000" w:rsidR="00000000" w:rsidRPr="00000000">
        <w:rPr>
          <w:sz w:val="24"/>
          <w:szCs w:val="24"/>
          <w:rtl w:val="0"/>
        </w:rPr>
        <w:t xml:space="preserve">. This deficit of experienced personnel poses a significant risk to the speed of the domestic energy transition (Greenberg et al., 2024). Hence, the need for provisions to address these disparital deficiencies are imperative for a successful transition. </w:t>
      </w:r>
    </w:p>
    <w:p w:rsidR="00000000" w:rsidDel="00000000" w:rsidP="00000000" w:rsidRDefault="00000000" w:rsidRPr="00000000" w14:paraId="0000000E">
      <w:pPr>
        <w:pStyle w:val="Heading1"/>
        <w:rPr>
          <w:sz w:val="24"/>
          <w:szCs w:val="24"/>
        </w:rPr>
      </w:pPr>
      <w:bookmarkStart w:colFirst="0" w:colLast="0" w:name="_jqm4c8d8h7yc" w:id="2"/>
      <w:bookmarkEnd w:id="2"/>
      <w:r w:rsidDel="00000000" w:rsidR="00000000" w:rsidRPr="00000000">
        <w:rPr>
          <w:sz w:val="24"/>
          <w:szCs w:val="24"/>
          <w:rtl w:val="0"/>
        </w:rPr>
        <w:t xml:space="preserve">III. Literature Review</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ind w:firstLine="720"/>
        <w:rPr>
          <w:sz w:val="24"/>
          <w:szCs w:val="24"/>
        </w:rPr>
      </w:pPr>
      <w:r w:rsidDel="00000000" w:rsidR="00000000" w:rsidRPr="00000000">
        <w:rPr>
          <w:sz w:val="24"/>
          <w:szCs w:val="24"/>
          <w:rtl w:val="0"/>
        </w:rPr>
        <w:t xml:space="preserve">This section provides an overview of the literature related to the workforce gap in the energy industry. A lack of adequate training in the infrastructure construction stage has been repeatedly identified as a top obstacle in hiring efforts by both employers and employees (Stefek et al., 2022). This disconnect between industry employers, the workforce, and educational institutions is referred to as the energy workforce gap. In a 2022 study of the wind industry workforce and industry, over 60% of the total workforce respondents cited technical training as the greatest challenge for seeking employment. Moreover, over 60% of wind companies reported no formal partnerships with educational institutions or apprenticeship programs; a gap that the National Renewable Energy Laboratory views as a key opportunity for growth. In the same study, 75% of current wind workers reported having participated in an internship or apprenticeship before entering the field. Thus industry-education partnerships represent an actionable point of intervention for  state and federal policy (BW/NREL Partnership 2022). </w:t>
      </w:r>
    </w:p>
    <w:p w:rsidR="00000000" w:rsidDel="00000000" w:rsidP="00000000" w:rsidRDefault="00000000" w:rsidRPr="00000000" w14:paraId="00000011">
      <w:pPr>
        <w:ind w:left="0" w:firstLine="720"/>
        <w:rPr>
          <w:sz w:val="24"/>
          <w:szCs w:val="24"/>
        </w:rPr>
      </w:pPr>
      <w:r w:rsidDel="00000000" w:rsidR="00000000" w:rsidRPr="00000000">
        <w:rPr>
          <w:sz w:val="24"/>
          <w:szCs w:val="24"/>
          <w:rtl w:val="0"/>
        </w:rPr>
        <w:t xml:space="preserve">Another significant, yet overlooked, challenge in developing a renewable energy workforce is ensuring that training programs address potential energy equity concerns while reaching the communities where energy infrastructure is being built. Parker et al. (2025) address this directly by developing an equity-driven rubric to identify where distributed wind workforce development partnerships are most urgently needed. Their framework prioritizes underserved and underrepresented groups like veterans, minority-serving institutions (MSIs), community colleges, and technical and trade programs, specifically located within 100 miles of active installer sites. The authors importantly prioritize rural areas due to their disproportionate share of newly installed distributive wind projects and the compounding energy equity challenges rural consumers face, such as higher energy burdens, greater grid reliability problems, and aging infrastructure relative to metropolitan areas (Orrell et al. 2023; Parker et al. 2023). </w:t>
      </w:r>
    </w:p>
    <w:p w:rsidR="00000000" w:rsidDel="00000000" w:rsidP="00000000" w:rsidRDefault="00000000" w:rsidRPr="00000000" w14:paraId="00000012">
      <w:pPr>
        <w:ind w:left="0" w:firstLine="720"/>
        <w:rPr>
          <w:sz w:val="24"/>
          <w:szCs w:val="24"/>
        </w:rPr>
      </w:pPr>
      <w:r w:rsidDel="00000000" w:rsidR="00000000" w:rsidRPr="00000000">
        <w:rPr>
          <w:sz w:val="24"/>
          <w:szCs w:val="24"/>
          <w:rtl w:val="0"/>
        </w:rPr>
        <w:t xml:space="preserve">Using this rubric, Parker et al. conduct a collaborator analysis of vocational institutions that meet these criteria, identifying where outreach and program development would most effectively close the gap between installer demand and available labor. Rather than treating apprenticeship expansion as a uniform national effort, the authors demonstrate that strategic, place-based investment is both more equitable and more efficient, which directly supports the case for a federal incentive structure that channels funding toward high-need rural regions. This research supports the case for a federal incentive structure that channels funding toward high-need rural regions rather than distributing resources broadly (Parker et al., 2025). The geographic constraints of this study are important to note; addressing the workforce gap in renewable energy infrastructure </w:t>
      </w:r>
    </w:p>
    <w:p w:rsidR="00000000" w:rsidDel="00000000" w:rsidP="00000000" w:rsidRDefault="00000000" w:rsidRPr="00000000" w14:paraId="00000013">
      <w:pPr>
        <w:ind w:left="0" w:firstLine="720"/>
        <w:rPr>
          <w:sz w:val="24"/>
          <w:szCs w:val="24"/>
        </w:rPr>
      </w:pPr>
      <w:r w:rsidDel="00000000" w:rsidR="00000000" w:rsidRPr="00000000">
        <w:rPr>
          <w:sz w:val="24"/>
          <w:szCs w:val="24"/>
          <w:rtl w:val="0"/>
        </w:rPr>
        <w:t xml:space="preserve">Evidence from existing federal programs demonstrates that this model of targeted, place-based investment is both practically feasible and effective. The Workforce Opportunity for Rural Communities program, administered jointly by the Appalachian Regional Commission and the Delta Regional Authority, has directed over $102 million across 77 projects in 326 Appalachian counties since 2019 (</w:t>
      </w:r>
      <w:r w:rsidDel="00000000" w:rsidR="00000000" w:rsidRPr="00000000">
        <w:rPr>
          <w:color w:val="222222"/>
          <w:sz w:val="24"/>
          <w:szCs w:val="24"/>
          <w:highlight w:val="white"/>
          <w:rtl w:val="0"/>
        </w:rPr>
        <w:t xml:space="preserve">WORC). </w:t>
      </w:r>
      <w:r w:rsidDel="00000000" w:rsidR="00000000" w:rsidRPr="00000000">
        <w:rPr>
          <w:sz w:val="24"/>
          <w:szCs w:val="24"/>
          <w:rtl w:val="0"/>
        </w:rPr>
        <w:t xml:space="preserve">Although this program does not specifically target renewable energy infrastructure, it demonstrates the viability of a Department of Labor-managed program to connect displaced workers to new employment opportunities through regionally tailored training (Appalachian Regional Commission). Similarly, the Rural Health Careers program in New Hampshire demonstrates that federal grants structured around local institutional capacity and regional needs can produce measurable workforce outcomes in underserved areas. These precedents establish that the federal government has both the administrative infrastructure and the track record to execute the kind of targeted rural apprenticeship investment this brief recommends.</w:t>
      </w:r>
    </w:p>
    <w:p w:rsidR="00000000" w:rsidDel="00000000" w:rsidP="00000000" w:rsidRDefault="00000000" w:rsidRPr="00000000" w14:paraId="00000014">
      <w:pPr>
        <w:ind w:left="0" w:firstLine="720"/>
        <w:rPr>
          <w:sz w:val="24"/>
          <w:szCs w:val="24"/>
        </w:rPr>
      </w:pPr>
      <w:r w:rsidDel="00000000" w:rsidR="00000000" w:rsidRPr="00000000">
        <w:rPr>
          <w:sz w:val="24"/>
          <w:szCs w:val="24"/>
          <w:rtl w:val="0"/>
        </w:rPr>
        <w:t xml:space="preserve">A frequently overlooked dimension of the renewable energy transition is its dependence on rare-earth minerals, which are the natural materials essential to the production of solar panels, wind turbines, and battery storage systems. The U.S. </w:t>
      </w:r>
      <w:r w:rsidDel="00000000" w:rsidR="00000000" w:rsidRPr="00000000">
        <w:rPr>
          <w:sz w:val="24"/>
          <w:szCs w:val="24"/>
          <w:rtl w:val="0"/>
        </w:rPr>
        <w:t xml:space="preserve">Department</w:t>
      </w:r>
      <w:r w:rsidDel="00000000" w:rsidR="00000000" w:rsidRPr="00000000">
        <w:rPr>
          <w:sz w:val="24"/>
          <w:szCs w:val="24"/>
          <w:rtl w:val="0"/>
        </w:rPr>
        <w:t xml:space="preserve"> of Energy identifies several of these materials as critically supply-constrained in the short term, with domestic production lagging far behind projected renewable energy demand (DOE 2023). The International Energy Agency projects that demand for rare earth elements used in wind turbine generators and related technologies may rise three to seven times by 2040, depending on the pace of deployment (IEA 2021). In February 2026, President Trump announced Project Vault, a $12 billion public-private partnership backed by the U.S. Export-Import Bank, which establishes a domestic strategic reserve for critical minerals to shield manufacturers from supply shocks and price volatility (Bipartisan Policy Center 2026). The Forum on Resource Geostrategic Engagement (FORGE), a U.S.-led multilateral coalition designed to shield allied countries from price volatility emerged around the same time (U.S. Department of State 2026). While these initiatives address supply chain security at the geopolitical level, they do not resolve the domestic workforce and infrastructure gaps necessary to deploy the energy systems those minerals will power. Moreover, these two related, yet distinct issues: the workforce gap and the critical minerals volatility, underscore that the renewable energy transition demands coordinated federal guidance across labor, education, and supply chain policy simultaneously (Bipartisan Policy Center 2026). </w:t>
      </w:r>
    </w:p>
    <w:p w:rsidR="00000000" w:rsidDel="00000000" w:rsidP="00000000" w:rsidRDefault="00000000" w:rsidRPr="00000000" w14:paraId="00000015">
      <w:pPr>
        <w:ind w:left="0" w:firstLine="0"/>
        <w:rPr>
          <w:sz w:val="24"/>
          <w:szCs w:val="24"/>
        </w:rPr>
      </w:pPr>
      <w:r w:rsidDel="00000000" w:rsidR="00000000" w:rsidRPr="00000000">
        <w:rPr>
          <w:rtl w:val="0"/>
        </w:rPr>
      </w:r>
    </w:p>
    <w:p w:rsidR="00000000" w:rsidDel="00000000" w:rsidP="00000000" w:rsidRDefault="00000000" w:rsidRPr="00000000" w14:paraId="00000016">
      <w:pPr>
        <w:pStyle w:val="Heading1"/>
        <w:rPr>
          <w:sz w:val="24"/>
          <w:szCs w:val="24"/>
        </w:rPr>
      </w:pPr>
      <w:bookmarkStart w:colFirst="0" w:colLast="0" w:name="_6iu8j7adcn28" w:id="3"/>
      <w:bookmarkEnd w:id="3"/>
      <w:r w:rsidDel="00000000" w:rsidR="00000000" w:rsidRPr="00000000">
        <w:rPr>
          <w:sz w:val="24"/>
          <w:szCs w:val="24"/>
          <w:rtl w:val="0"/>
        </w:rPr>
        <w:t xml:space="preserve">IV: Policy Recommendations </w:t>
      </w:r>
    </w:p>
    <w:p w:rsidR="00000000" w:rsidDel="00000000" w:rsidP="00000000" w:rsidRDefault="00000000" w:rsidRPr="00000000" w14:paraId="00000017">
      <w:pPr>
        <w:rPr>
          <w:sz w:val="24"/>
          <w:szCs w:val="24"/>
          <w:shd w:fill="ead1dc" w:val="clear"/>
        </w:rPr>
      </w:pPr>
      <w:r w:rsidDel="00000000" w:rsidR="00000000" w:rsidRPr="00000000">
        <w:rPr>
          <w:rtl w:val="0"/>
        </w:rPr>
      </w:r>
    </w:p>
    <w:p w:rsidR="00000000" w:rsidDel="00000000" w:rsidP="00000000" w:rsidRDefault="00000000" w:rsidRPr="00000000" w14:paraId="00000018">
      <w:pPr>
        <w:ind w:firstLine="720"/>
        <w:rPr>
          <w:sz w:val="24"/>
          <w:szCs w:val="24"/>
        </w:rPr>
      </w:pPr>
      <w:r w:rsidDel="00000000" w:rsidR="00000000" w:rsidRPr="00000000">
        <w:rPr>
          <w:sz w:val="24"/>
          <w:szCs w:val="24"/>
          <w:rtl w:val="0"/>
        </w:rPr>
        <w:t xml:space="preserve">There are several approaches to building a scalable workforce for the energy industry. The following criteria are most important in evaluating the potential actions: effectiveness, cost-efficiency, equity impact, administrative feasibility and political feasibility. Effectiveness, as a measure, would reflect the number of skillful workers acquired and placed in jobs. Equity impact includes our targeting of services towards less financially and educationally resourced communities. </w:t>
      </w:r>
    </w:p>
    <w:p w:rsidR="00000000" w:rsidDel="00000000" w:rsidP="00000000" w:rsidRDefault="00000000" w:rsidRPr="00000000" w14:paraId="00000019">
      <w:pPr>
        <w:ind w:firstLine="720"/>
        <w:rPr>
          <w:b w:val="1"/>
          <w:bCs w:val="1"/>
          <w:sz w:val="24"/>
          <w:szCs w:val="24"/>
        </w:rPr>
      </w:pPr>
      <w:r w:rsidDel="00000000" w:rsidR="00000000" w:rsidRPr="00000000">
        <w:rPr>
          <w:rtl w:val="0"/>
        </w:rPr>
      </w:r>
    </w:p>
    <w:p w:rsidR="00000000" w:rsidDel="00000000" w:rsidP="00000000" w:rsidRDefault="00000000" w:rsidRPr="00000000" w14:paraId="0000001A">
      <w:pPr>
        <w:rPr>
          <w:b w:val="1"/>
          <w:bCs w:val="1"/>
          <w:sz w:val="24"/>
          <w:szCs w:val="24"/>
        </w:rPr>
      </w:pPr>
      <w:r w:rsidDel="00000000" w:rsidR="00000000" w:rsidRPr="00000000">
        <w:rPr>
          <w:b w:val="1"/>
          <w:bCs w:val="1"/>
          <w:sz w:val="24"/>
          <w:szCs w:val="24"/>
          <w:rtl w:val="0"/>
        </w:rPr>
        <w:t xml:space="preserve">Alternative I: State-by-state Contractor Program</w:t>
      </w:r>
    </w:p>
    <w:p w:rsidR="00000000" w:rsidDel="00000000" w:rsidP="00000000" w:rsidRDefault="00000000" w:rsidRPr="00000000" w14:paraId="0000001B">
      <w:pPr>
        <w:rPr>
          <w:sz w:val="24"/>
          <w:szCs w:val="24"/>
        </w:rPr>
      </w:pPr>
      <w:r w:rsidDel="00000000" w:rsidR="00000000" w:rsidRPr="00000000">
        <w:rPr>
          <w:rFonts w:ascii="Gungsuh" w:cs="Gungsuh" w:eastAsia="Gungsuh" w:hAnsi="Gungsuh"/>
          <w:sz w:val="24"/>
          <w:szCs w:val="24"/>
          <w:rtl w:val="0"/>
        </w:rPr>
        <w:tab/>
        <w:t xml:space="preserve">One approach would be to expand the Equity Eligible Contractor (EEC) Program initiated in Illinois. This project tracks trained apprentices from renewable energy programs and awards tax credits to contractors who meet ≥ 30% EEC-trained workforce. It has the potential to be a strong policy action because it leverages existing DOE grant structures and also will generate measurable hiring outcomes. This proposed policy’s largest strength lies in the utilization of federal funds for place-based investment by state. </w:t>
      </w:r>
    </w:p>
    <w:p w:rsidR="00000000" w:rsidDel="00000000" w:rsidP="00000000" w:rsidRDefault="00000000" w:rsidRPr="00000000" w14:paraId="0000001C">
      <w:pPr>
        <w:ind w:firstLine="720"/>
        <w:rPr>
          <w:sz w:val="24"/>
          <w:szCs w:val="24"/>
        </w:rPr>
      </w:pPr>
      <w:r w:rsidDel="00000000" w:rsidR="00000000" w:rsidRPr="00000000">
        <w:rPr>
          <w:sz w:val="24"/>
          <w:szCs w:val="24"/>
          <w:rtl w:val="0"/>
        </w:rPr>
        <w:t xml:space="preserve">An interesting extension to this contractor program would be to create a cloud-based marketplace that matches contractors with certified apprentices on a pay-per-project basis. This offers flexibility for contractors of all sizes, including highly privatized businesses. The program also has the potential to pilot with a few solar or wind developers before being scaled up. However, this service-based workforce platform, ideally managed by the Department of Energy, may undermine traditional apprenticeship depth due to shorter amounts of time spent on jobs.</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b w:val="1"/>
          <w:bCs w:val="1"/>
          <w:sz w:val="24"/>
          <w:szCs w:val="24"/>
        </w:rPr>
      </w:pPr>
      <w:r w:rsidDel="00000000" w:rsidR="00000000" w:rsidRPr="00000000">
        <w:rPr>
          <w:b w:val="1"/>
          <w:bCs w:val="1"/>
          <w:sz w:val="24"/>
          <w:szCs w:val="24"/>
          <w:rtl w:val="0"/>
        </w:rPr>
        <w:t xml:space="preserve">Alternative II: National Apprenticeship Program</w:t>
      </w:r>
    </w:p>
    <w:p w:rsidR="00000000" w:rsidDel="00000000" w:rsidP="00000000" w:rsidRDefault="00000000" w:rsidRPr="00000000" w14:paraId="0000001F">
      <w:pPr>
        <w:rPr>
          <w:sz w:val="24"/>
          <w:szCs w:val="24"/>
        </w:rPr>
      </w:pPr>
      <w:r w:rsidDel="00000000" w:rsidR="00000000" w:rsidRPr="00000000">
        <w:rPr>
          <w:sz w:val="24"/>
          <w:szCs w:val="24"/>
          <w:rtl w:val="0"/>
        </w:rPr>
        <w:tab/>
        <w:t xml:space="preserve">We also suggest introducing new legislation establishing a national apprenticeship standard and program. This legislation would secure funding to support a 2-year industry-aligned apprenticeship program in solar and wind construction. It has the potential to create uniform standards across all states. This novel bill would fit nicely into the federal Department of Labor’s existing Registered Apprenticeship program, but it will require additional funding. </w:t>
      </w:r>
    </w:p>
    <w:p w:rsidR="00000000" w:rsidDel="00000000" w:rsidP="00000000" w:rsidRDefault="00000000" w:rsidRPr="00000000" w14:paraId="00000020">
      <w:pPr>
        <w:ind w:firstLine="720"/>
        <w:rPr>
          <w:sz w:val="24"/>
          <w:szCs w:val="24"/>
        </w:rPr>
      </w:pPr>
      <w:r w:rsidDel="00000000" w:rsidR="00000000" w:rsidRPr="00000000">
        <w:rPr>
          <w:sz w:val="24"/>
          <w:szCs w:val="24"/>
          <w:rtl w:val="0"/>
        </w:rPr>
        <w:t xml:space="preserve">This ambitious, wide-reaching policy solution is no longer as feasible as it once was. While the Inflation Reduction Act (IRA) established a Green-Jobs Trust Fund that would have been a suitable funding stream for this act, the debate over and the repeal of the IRA mean this is no longer a stable funding stream. Though it could have the greatest reach across the country, it may sacrifice quality for quantity in its nationwide model. Additionally, the national model does not specifically target rural communities, which we have identified as the most needy and with the highest potential for energy and job security payoffs.</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Alternative III: Rural-focused Grant System</w:t>
      </w:r>
    </w:p>
    <w:p w:rsidR="00000000" w:rsidDel="00000000" w:rsidP="00000000" w:rsidRDefault="00000000" w:rsidRPr="00000000" w14:paraId="00000023">
      <w:pPr>
        <w:rPr>
          <w:sz w:val="24"/>
          <w:szCs w:val="24"/>
        </w:rPr>
      </w:pPr>
      <w:r w:rsidDel="00000000" w:rsidR="00000000" w:rsidRPr="00000000">
        <w:rPr>
          <w:sz w:val="24"/>
          <w:szCs w:val="24"/>
          <w:rtl w:val="0"/>
        </w:rPr>
        <w:tab/>
        <w:t xml:space="preserve">A smaller, more targeted approach would be to establish wind and solar training grants specifically for rural areas. These competitive grants would be offered to technical schools or non-governmental organizations in counties with an energy burden of&gt; 30%, thereby directly addressing rural energy equity. While not addressing national labor demands, this policy alternative encourages local utility stability and requires relatively little pay-in for great outcomes.</w:t>
      </w:r>
    </w:p>
    <w:p w:rsidR="00000000" w:rsidDel="00000000" w:rsidP="00000000" w:rsidRDefault="00000000" w:rsidRPr="00000000" w14:paraId="00000024">
      <w:pPr>
        <w:rPr>
          <w:sz w:val="24"/>
          <w:szCs w:val="24"/>
        </w:rPr>
      </w:pPr>
      <w:r w:rsidDel="00000000" w:rsidR="00000000" w:rsidRPr="00000000">
        <w:rPr>
          <w:sz w:val="24"/>
          <w:szCs w:val="24"/>
          <w:rtl w:val="0"/>
        </w:rPr>
        <w:tab/>
        <w:t xml:space="preserve">Similar grant structures have been successful in different areas, such as the aforementioned Workforce Opportunity for Rural Communities (WORC) and</w:t>
      </w:r>
      <w:r w:rsidDel="00000000" w:rsidR="00000000" w:rsidRPr="00000000">
        <w:rPr>
          <w:sz w:val="24"/>
          <w:szCs w:val="24"/>
          <w:rtl w:val="0"/>
        </w:rPr>
        <w:t xml:space="preserve"> </w:t>
      </w:r>
      <w:r w:rsidDel="00000000" w:rsidR="00000000" w:rsidRPr="00000000">
        <w:rPr>
          <w:sz w:val="24"/>
          <w:szCs w:val="24"/>
          <w:rtl w:val="0"/>
        </w:rPr>
        <w:t xml:space="preserve">Rural Health Careers (RHC) Program. Both have secured massive amounts of funding from the U.S. Department of Labor to enhance employment opportunities and outcomes with an equitable lens. While these programs were not focused on the energy workforce, they demonstrate the potential of the DOL to execute successful targeted rural apprenticeship programs.</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b w:val="1"/>
          <w:bCs w:val="1"/>
          <w:sz w:val="24"/>
          <w:szCs w:val="24"/>
          <w:rtl w:val="0"/>
        </w:rPr>
        <w:t xml:space="preserve">Conclusion</w:t>
      </w:r>
      <w:r w:rsidDel="00000000" w:rsidR="00000000" w:rsidRPr="00000000">
        <w:rPr>
          <w:rtl w:val="0"/>
        </w:rPr>
      </w:r>
    </w:p>
    <w:p w:rsidR="00000000" w:rsidDel="00000000" w:rsidP="00000000" w:rsidRDefault="00000000" w:rsidRPr="00000000" w14:paraId="00000027">
      <w:pPr>
        <w:ind w:left="0" w:firstLine="720"/>
        <w:rPr>
          <w:sz w:val="24"/>
          <w:szCs w:val="24"/>
        </w:rPr>
      </w:pPr>
      <w:r w:rsidDel="00000000" w:rsidR="00000000" w:rsidRPr="00000000">
        <w:rPr>
          <w:sz w:val="24"/>
          <w:szCs w:val="24"/>
          <w:rtl w:val="0"/>
        </w:rPr>
        <w:t xml:space="preserve">This research, combined with conversations with industry experts, affirms that closing the renewable energy workforce gap requires a coordinated federal policy effort. Among the three alternatives presented, we argue that the Rural-Focused Grant System (Alternative III) offers the strongest combination of political feasibility, equity impact, and administrative efficiency. It would work within existing DOL infrastructure, while targeting communities where impact  is highest and potentially avoiding the legislative obstacles that make a new national apprenticeship bill less tenable in the current Congress. The State-by-State Contractor Program (Alternative I) , while promising, depends on state-level engagement that is not guaranteed. The National Apprenticeship Program (Alternative II),  though potentially the most far-reaching, lacks a stable funding stream following the termination of many IRA provisions.</w:t>
      </w:r>
    </w:p>
    <w:p w:rsidR="00000000" w:rsidDel="00000000" w:rsidP="00000000" w:rsidRDefault="00000000" w:rsidRPr="00000000" w14:paraId="00000028">
      <w:pPr>
        <w:ind w:left="0" w:firstLine="720"/>
        <w:rPr>
          <w:sz w:val="24"/>
          <w:szCs w:val="24"/>
        </w:rPr>
      </w:pPr>
      <w:r w:rsidDel="00000000" w:rsidR="00000000" w:rsidRPr="00000000">
        <w:rPr>
          <w:sz w:val="24"/>
          <w:szCs w:val="24"/>
          <w:rtl w:val="0"/>
        </w:rPr>
        <w:t xml:space="preserve">Creating institutional linkages between the renewable energy industry and rural educational infrastructure will not only accelerate the transition to domestic renewable energy but it will simultaneously address bipartisan concerns regarding energy security. The ERA program's survival under the Trump administration, combined with bipartisan calls for domestic energy dominance, signals that this may be a moment of political opportunity. As our expert interviews with leaders at SEIA, EESI, and the USDA Rural Utilities Service confirmed, the pipeline problem is widely recognized across industry and government, and amenable to targeted intervention.</w:t>
      </w:r>
    </w:p>
    <w:p w:rsidR="00000000" w:rsidDel="00000000" w:rsidP="00000000" w:rsidRDefault="00000000" w:rsidRPr="00000000" w14:paraId="00000029">
      <w:pPr>
        <w:ind w:left="0" w:firstLine="720"/>
        <w:rPr>
          <w:sz w:val="24"/>
          <w:szCs w:val="24"/>
        </w:rPr>
      </w:pPr>
      <w:r w:rsidDel="00000000" w:rsidR="00000000" w:rsidRPr="00000000">
        <w:rPr>
          <w:sz w:val="24"/>
          <w:szCs w:val="24"/>
          <w:rtl w:val="0"/>
        </w:rPr>
        <w:t xml:space="preserve">The workforce gap, however, is not the only structural obstacle to a secure domestic energy future. As the literature makes clear, rare-earth mineral supply chains represent an equally urgent vulnerability, one that the Trump administration has begun to address through Project Vault and FORGE, but which remains unresolved at the domestic production level. A trained workforce capable of building wind and solar infrastructure is only as valuable as the supply chain that delivers the materials those systems require. Policymakers pursuing rural apprenticeship investment would do well to coordinate with parallel efforts in critical minerals strategy, treating both as components of a single nation-building project rather than siloed initiatives. </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b w:val="1"/>
          <w:bCs w:val="1"/>
          <w:sz w:val="24"/>
          <w:szCs w:val="24"/>
        </w:rPr>
      </w:pPr>
      <w:r w:rsidDel="00000000" w:rsidR="00000000" w:rsidRPr="00000000">
        <w:rPr>
          <w:b w:val="1"/>
          <w:bCs w:val="1"/>
          <w:sz w:val="24"/>
          <w:szCs w:val="24"/>
          <w:rtl w:val="0"/>
        </w:rPr>
        <w:t xml:space="preserve">Credits</w:t>
      </w:r>
    </w:p>
    <w:p w:rsidR="00000000" w:rsidDel="00000000" w:rsidP="00000000" w:rsidRDefault="00000000" w:rsidRPr="00000000" w14:paraId="0000002C">
      <w:pPr>
        <w:ind w:left="0" w:firstLine="720"/>
        <w:rPr>
          <w:sz w:val="24"/>
          <w:szCs w:val="24"/>
        </w:rPr>
      </w:pPr>
      <w:r w:rsidDel="00000000" w:rsidR="00000000" w:rsidRPr="00000000">
        <w:rPr>
          <w:sz w:val="24"/>
          <w:szCs w:val="24"/>
          <w:rtl w:val="0"/>
        </w:rPr>
        <w:t xml:space="preserve">Thank you deeply to the following industry experts who took the time to participate in interviews with us; Evie Bird, Marni Carroll, and Aline Barros from Generate Capital; Abby Hopper, CEO emeritus of Solar Energy Industries Association (SEIA); Nicole Puoy, Senior Policy Associate at Environmental and Energy Study Institute (EESI); and Christopher McLean, Acting Administrator for the U.S. Department of Agriculture’s (USDA) Rural Utilities Service Program.</w:t>
        <w:tab/>
      </w:r>
    </w:p>
    <w:p w:rsidR="00000000" w:rsidDel="00000000" w:rsidP="00000000" w:rsidRDefault="00000000" w:rsidRPr="00000000" w14:paraId="0000002D">
      <w:pPr>
        <w:ind w:left="0" w:firstLine="720"/>
        <w:rPr>
          <w:sz w:val="24"/>
          <w:szCs w:val="24"/>
        </w:rPr>
      </w:pPr>
      <w:r w:rsidDel="00000000" w:rsidR="00000000" w:rsidRPr="00000000">
        <w:rPr>
          <w:sz w:val="24"/>
          <w:szCs w:val="24"/>
          <w:rtl w:val="0"/>
        </w:rPr>
        <w:t xml:space="preserve">We would also like to dearly thank Bob Coates, Tulio Huggins, and Shakeb Arsalan for supporting us through the Rockefeller Leadership Fellows Program. </w:t>
      </w:r>
    </w:p>
    <w:p w:rsidR="00000000" w:rsidDel="00000000" w:rsidP="00000000" w:rsidRDefault="00000000" w:rsidRPr="00000000" w14:paraId="0000002E">
      <w:pPr>
        <w:ind w:left="0" w:firstLine="0"/>
        <w:rPr>
          <w:sz w:val="24"/>
          <w:szCs w:val="24"/>
        </w:rPr>
      </w:pPr>
      <w:r w:rsidDel="00000000" w:rsidR="00000000" w:rsidRPr="00000000">
        <w:rPr>
          <w:rtl w:val="0"/>
        </w:rPr>
      </w:r>
    </w:p>
    <w:p w:rsidR="00000000" w:rsidDel="00000000" w:rsidP="00000000" w:rsidRDefault="00000000" w:rsidRPr="00000000" w14:paraId="0000002F">
      <w:pPr>
        <w:ind w:left="0" w:firstLine="0"/>
        <w:rPr>
          <w:sz w:val="24"/>
          <w:szCs w:val="24"/>
        </w:rPr>
        <w:sectPr>
          <w:headerReference r:id="rId6" w:type="default"/>
          <w:footerReference r:id="rId7"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30">
      <w:pPr>
        <w:spacing w:after="240" w:before="240" w:lineRule="auto"/>
        <w:jc w:val="center"/>
        <w:rPr>
          <w:sz w:val="24"/>
          <w:szCs w:val="24"/>
        </w:rPr>
      </w:pPr>
      <w:r w:rsidDel="00000000" w:rsidR="00000000" w:rsidRPr="00000000">
        <w:rPr>
          <w:sz w:val="24"/>
          <w:szCs w:val="24"/>
          <w:rtl w:val="0"/>
        </w:rPr>
        <w:t xml:space="preserve">Works Cited</w:t>
      </w:r>
    </w:p>
    <w:p w:rsidR="00000000" w:rsidDel="00000000" w:rsidP="00000000" w:rsidRDefault="00000000" w:rsidRPr="00000000" w14:paraId="00000031">
      <w:pPr>
        <w:rPr>
          <w:color w:val="222222"/>
          <w:sz w:val="24"/>
          <w:szCs w:val="24"/>
          <w:highlight w:val="white"/>
        </w:rPr>
      </w:pPr>
      <w:r w:rsidDel="00000000" w:rsidR="00000000" w:rsidRPr="00000000">
        <w:rPr>
          <w:color w:val="222222"/>
          <w:sz w:val="24"/>
          <w:szCs w:val="24"/>
          <w:highlight w:val="white"/>
          <w:rtl w:val="0"/>
        </w:rPr>
        <w:t xml:space="preserve">Appalachian Regional Commission. n.d. "Workforce Opportunity for Rural Communities (WORC)." </w:t>
      </w:r>
      <w:hyperlink r:id="rId8">
        <w:r w:rsidDel="00000000" w:rsidR="00000000" w:rsidRPr="00000000">
          <w:rPr>
            <w:color w:val="1155cc"/>
            <w:sz w:val="24"/>
            <w:szCs w:val="24"/>
            <w:highlight w:val="white"/>
            <w:u w:val="single"/>
            <w:rtl w:val="0"/>
          </w:rPr>
          <w:t xml:space="preserve">https://www.arc.gov/grants-and-opportunities/worc/</w:t>
        </w:r>
      </w:hyperlink>
      <w:r w:rsidDel="00000000" w:rsidR="00000000" w:rsidRPr="00000000">
        <w:rPr>
          <w:rtl w:val="0"/>
        </w:rPr>
      </w:r>
    </w:p>
    <w:p w:rsidR="00000000" w:rsidDel="00000000" w:rsidP="00000000" w:rsidRDefault="00000000" w:rsidRPr="00000000" w14:paraId="00000032">
      <w:pPr>
        <w:rPr>
          <w:color w:val="222222"/>
          <w:sz w:val="24"/>
          <w:szCs w:val="24"/>
          <w:highlight w:val="white"/>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color w:val="222222"/>
          <w:sz w:val="24"/>
          <w:szCs w:val="24"/>
          <w:highlight w:val="white"/>
          <w:rtl w:val="0"/>
        </w:rPr>
        <w:t xml:space="preserve">Collins, Benjamin. Registered Apprenticeship: Federal Role and Recent Federal Efforts. Congressional Research Service Report R45171. Washington, DC: Congressional Research Service. </w:t>
      </w:r>
      <w:hyperlink r:id="rId9">
        <w:r w:rsidDel="00000000" w:rsidR="00000000" w:rsidRPr="00000000">
          <w:rPr>
            <w:color w:val="1155cc"/>
            <w:sz w:val="24"/>
            <w:szCs w:val="24"/>
            <w:highlight w:val="white"/>
            <w:u w:val="single"/>
            <w:rtl w:val="0"/>
          </w:rPr>
          <w:t xml:space="preserve">https://www.congress.gov/crs-product/R45171</w:t>
        </w:r>
      </w:hyperlink>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color w:val="222222"/>
          <w:sz w:val="24"/>
          <w:szCs w:val="24"/>
          <w:highlight w:val="white"/>
          <w:rtl w:val="0"/>
        </w:rPr>
        <w:t xml:space="preserve">Energy Funds for All. “State-Based Home Energy Efficiency Contractor Training Grants.” </w:t>
      </w:r>
      <w:hyperlink r:id="rId10">
        <w:r w:rsidDel="00000000" w:rsidR="00000000" w:rsidRPr="00000000">
          <w:rPr>
            <w:color w:val="1155cc"/>
            <w:sz w:val="24"/>
            <w:szCs w:val="24"/>
            <w:highlight w:val="white"/>
            <w:u w:val="single"/>
            <w:rtl w:val="0"/>
          </w:rPr>
          <w:t xml:space="preserve">https://energyfundsforall.org/state-based-home-energy-efficiency-contractor-training-grants/</w:t>
        </w:r>
      </w:hyperlink>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color w:val="222222"/>
          <w:sz w:val="24"/>
          <w:szCs w:val="24"/>
          <w:highlight w:val="white"/>
          <w:rtl w:val="0"/>
        </w:rPr>
        <w:t xml:space="preserve">Grants.gov. “Funding Opportunity: 353004.” </w:t>
      </w:r>
      <w:hyperlink r:id="rId11">
        <w:r w:rsidDel="00000000" w:rsidR="00000000" w:rsidRPr="00000000">
          <w:rPr>
            <w:color w:val="1155cc"/>
            <w:sz w:val="24"/>
            <w:szCs w:val="24"/>
            <w:highlight w:val="white"/>
            <w:u w:val="single"/>
            <w:rtl w:val="0"/>
          </w:rPr>
          <w:t xml:space="preserve">https://www.grants.gov/search-results-detail/353004</w:t>
        </w:r>
      </w:hyperlink>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color w:val="222222"/>
          <w:sz w:val="24"/>
          <w:szCs w:val="24"/>
          <w:highlight w:val="white"/>
          <w:rtl w:val="0"/>
        </w:rPr>
        <w:t xml:space="preserve">Greenberg, Ezra, Erik Schaefer, and Brooke Weddle. “Tradespeople Wanted: The Need for Critical Trade Skills in the US.” McKinsey &amp; Company. </w:t>
      </w:r>
      <w:hyperlink r:id="rId12">
        <w:r w:rsidDel="00000000" w:rsidR="00000000" w:rsidRPr="00000000">
          <w:rPr>
            <w:color w:val="1155cc"/>
            <w:sz w:val="24"/>
            <w:szCs w:val="24"/>
            <w:highlight w:val="white"/>
            <w:u w:val="single"/>
            <w:rtl w:val="0"/>
          </w:rPr>
          <w:t xml:space="preserve">https://www.mckinsey.com/capabilities/people-and-organizational-performance/our-insights/tradespeople-wanted-the-need-for-critical-trade-skills-in-the-us</w:t>
        </w:r>
      </w:hyperlink>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Li, Serena, Joel Jaeger, Neelam Singh, and Jennifer Layke. “The State of Clean Energy, in 10 Charts.” World Resources Institute, December 10, 2025. </w:t>
      </w:r>
      <w:hyperlink r:id="rId13">
        <w:r w:rsidDel="00000000" w:rsidR="00000000" w:rsidRPr="00000000">
          <w:rPr>
            <w:color w:val="1155cc"/>
            <w:sz w:val="24"/>
            <w:szCs w:val="24"/>
            <w:u w:val="single"/>
            <w:rtl w:val="0"/>
          </w:rPr>
          <w:t xml:space="preserve">https://www.wri.org/insights/state-clean-energy-charted</w:t>
        </w:r>
      </w:hyperlink>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color w:val="222222"/>
          <w:sz w:val="24"/>
          <w:szCs w:val="24"/>
          <w:highlight w:val="white"/>
        </w:rPr>
      </w:pPr>
      <w:r w:rsidDel="00000000" w:rsidR="00000000" w:rsidRPr="00000000">
        <w:rPr>
          <w:color w:val="222222"/>
          <w:sz w:val="24"/>
          <w:szCs w:val="24"/>
          <w:highlight w:val="white"/>
          <w:rtl w:val="0"/>
        </w:rPr>
        <w:t xml:space="preserve">Lucas, Hugo, Stephanie Pinnington, and Luisa F. Cabeza. "Education and training gaps in the renewable energy sector." </w:t>
      </w:r>
      <w:r w:rsidDel="00000000" w:rsidR="00000000" w:rsidRPr="00000000">
        <w:rPr>
          <w:i w:val="1"/>
          <w:iCs w:val="1"/>
          <w:color w:val="222222"/>
          <w:sz w:val="24"/>
          <w:szCs w:val="24"/>
          <w:highlight w:val="white"/>
          <w:rtl w:val="0"/>
        </w:rPr>
        <w:t xml:space="preserve">Solar Energy</w:t>
      </w:r>
      <w:r w:rsidDel="00000000" w:rsidR="00000000" w:rsidRPr="00000000">
        <w:rPr>
          <w:color w:val="222222"/>
          <w:sz w:val="24"/>
          <w:szCs w:val="24"/>
          <w:highlight w:val="white"/>
          <w:rtl w:val="0"/>
        </w:rPr>
        <w:t xml:space="preserve"> 173 (2018): 449-455.</w:t>
      </w:r>
    </w:p>
    <w:p w:rsidR="00000000" w:rsidDel="00000000" w:rsidP="00000000" w:rsidRDefault="00000000" w:rsidRPr="00000000" w14:paraId="0000003E">
      <w:pPr>
        <w:rPr>
          <w:color w:val="222222"/>
          <w:sz w:val="24"/>
          <w:szCs w:val="24"/>
          <w:highlight w:val="white"/>
        </w:rPr>
      </w:pPr>
      <w:r w:rsidDel="00000000" w:rsidR="00000000" w:rsidRPr="00000000">
        <w:rPr>
          <w:rtl w:val="0"/>
        </w:rPr>
      </w:r>
    </w:p>
    <w:p w:rsidR="00000000" w:rsidDel="00000000" w:rsidP="00000000" w:rsidRDefault="00000000" w:rsidRPr="00000000" w14:paraId="0000003F">
      <w:pPr>
        <w:rPr>
          <w:color w:val="222222"/>
          <w:sz w:val="24"/>
          <w:szCs w:val="24"/>
          <w:highlight w:val="white"/>
        </w:rPr>
      </w:pPr>
      <w:r w:rsidDel="00000000" w:rsidR="00000000" w:rsidRPr="00000000">
        <w:rPr>
          <w:color w:val="222222"/>
          <w:sz w:val="24"/>
          <w:szCs w:val="24"/>
          <w:highlight w:val="white"/>
          <w:rtl w:val="0"/>
        </w:rPr>
        <w:t xml:space="preserve">McDowell, Brinn. Smith, Elena. Stefek, Jeremy. National Renewable Energy Laboratory. [Connective Actions for Educational Institutions and Wind Industry Firms. NREL/TP-87522. U.S. Department of Energy. </w:t>
      </w:r>
      <w:hyperlink r:id="rId14">
        <w:r w:rsidDel="00000000" w:rsidR="00000000" w:rsidRPr="00000000">
          <w:rPr>
            <w:color w:val="1155cc"/>
            <w:sz w:val="24"/>
            <w:szCs w:val="24"/>
            <w:highlight w:val="white"/>
            <w:u w:val="single"/>
            <w:rtl w:val="0"/>
          </w:rPr>
          <w:t xml:space="preserve">https://docs.nrel.gov/docs/fy24osti/87522.pdf</w:t>
        </w:r>
      </w:hyperlink>
      <w:r w:rsidDel="00000000" w:rsidR="00000000" w:rsidRPr="00000000">
        <w:rPr>
          <w:rtl w:val="0"/>
        </w:rPr>
      </w:r>
    </w:p>
    <w:p w:rsidR="00000000" w:rsidDel="00000000" w:rsidP="00000000" w:rsidRDefault="00000000" w:rsidRPr="00000000" w14:paraId="00000040">
      <w:pPr>
        <w:spacing w:after="240" w:before="240" w:lineRule="auto"/>
        <w:rPr>
          <w:sz w:val="24"/>
          <w:szCs w:val="24"/>
        </w:rPr>
      </w:pPr>
      <w:r w:rsidDel="00000000" w:rsidR="00000000" w:rsidRPr="00000000">
        <w:rPr>
          <w:sz w:val="24"/>
          <w:szCs w:val="24"/>
          <w:rtl w:val="0"/>
        </w:rPr>
        <w:t xml:space="preserve">Muro, Mark, Adie Tomer, Ranjitha Shivaram, and Joseph W. Kane. 2019. </w:t>
      </w:r>
      <w:r w:rsidDel="00000000" w:rsidR="00000000" w:rsidRPr="00000000">
        <w:rPr>
          <w:i w:val="1"/>
          <w:iCs w:val="1"/>
          <w:sz w:val="24"/>
          <w:szCs w:val="24"/>
          <w:rtl w:val="0"/>
        </w:rPr>
        <w:t xml:space="preserve">Advancing Inclusion through Clean Energy Jobs</w:t>
      </w:r>
      <w:r w:rsidDel="00000000" w:rsidR="00000000" w:rsidRPr="00000000">
        <w:rPr>
          <w:sz w:val="24"/>
          <w:szCs w:val="24"/>
          <w:rtl w:val="0"/>
        </w:rPr>
        <w:t xml:space="preserve">. Washington, DC: Brookings Institution.</w:t>
      </w:r>
      <w:hyperlink r:id="rId15">
        <w:r w:rsidDel="00000000" w:rsidR="00000000" w:rsidRPr="00000000">
          <w:rPr>
            <w:sz w:val="24"/>
            <w:szCs w:val="24"/>
            <w:rtl w:val="0"/>
          </w:rPr>
          <w:t xml:space="preserve"> </w:t>
        </w:r>
      </w:hyperlink>
      <w:hyperlink r:id="rId16">
        <w:r w:rsidDel="00000000" w:rsidR="00000000" w:rsidRPr="00000000">
          <w:rPr>
            <w:color w:val="1155cc"/>
            <w:sz w:val="24"/>
            <w:szCs w:val="24"/>
            <w:u w:val="single"/>
            <w:rtl w:val="0"/>
          </w:rPr>
          <w:t xml:space="preserve">https://www.brookings.edu/wp-content/uploads/2019/04/2019.04_metro_Clean-Energy-Jobs_Report_Muro-Tomer-Shivaran-Kane_updated.pdf</w:t>
        </w:r>
      </w:hyperlink>
      <w:r w:rsidDel="00000000" w:rsidR="00000000" w:rsidRPr="00000000">
        <w:rPr>
          <w:sz w:val="24"/>
          <w:szCs w:val="24"/>
          <w:rtl w:val="0"/>
        </w:rPr>
        <w:t xml:space="preserve">.</w:t>
      </w:r>
    </w:p>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Parker, Kendall, Kamila Kazimierczuk, Micah Taylor, Danielle Preziuso, and Andrew White. 2025. “Building a Diverse and Equitable Distributed Wind Workforce: A Strategic Approach to Collaborator Selection.” </w:t>
      </w:r>
      <w:r w:rsidDel="00000000" w:rsidR="00000000" w:rsidRPr="00000000">
        <w:rPr>
          <w:i w:val="1"/>
          <w:iCs w:val="1"/>
          <w:sz w:val="24"/>
          <w:szCs w:val="24"/>
          <w:rtl w:val="0"/>
        </w:rPr>
        <w:t xml:space="preserve">Wind Energy Science</w:t>
      </w:r>
      <w:r w:rsidDel="00000000" w:rsidR="00000000" w:rsidRPr="00000000">
        <w:rPr>
          <w:sz w:val="24"/>
          <w:szCs w:val="24"/>
          <w:rtl w:val="0"/>
        </w:rPr>
        <w:t xml:space="preserve"> 10: 2351–2363. </w:t>
      </w:r>
      <w:hyperlink r:id="rId17">
        <w:r w:rsidDel="00000000" w:rsidR="00000000" w:rsidRPr="00000000">
          <w:rPr>
            <w:color w:val="1155cc"/>
            <w:sz w:val="24"/>
            <w:szCs w:val="24"/>
            <w:u w:val="single"/>
            <w:rtl w:val="0"/>
          </w:rPr>
          <w:t xml:space="preserve">https://doi.org/10.5194/wes-10-2351-2025</w:t>
        </w:r>
      </w:hyperlink>
      <w:r w:rsidDel="00000000" w:rsidR="00000000" w:rsidRPr="00000000">
        <w:rPr>
          <w:sz w:val="24"/>
          <w:szCs w:val="24"/>
          <w:rtl w:val="0"/>
        </w:rPr>
        <w:t xml:space="preserve">.</w:t>
      </w:r>
    </w:p>
    <w:p w:rsidR="00000000" w:rsidDel="00000000" w:rsidP="00000000" w:rsidRDefault="00000000" w:rsidRPr="00000000" w14:paraId="00000042">
      <w:pPr>
        <w:rPr>
          <w:sz w:val="24"/>
          <w:szCs w:val="24"/>
        </w:rPr>
      </w:pPr>
      <w:r w:rsidDel="00000000" w:rsidR="00000000" w:rsidRPr="00000000">
        <w:rPr>
          <w:color w:val="222222"/>
          <w:sz w:val="24"/>
          <w:szCs w:val="24"/>
          <w:highlight w:val="white"/>
          <w:rtl w:val="0"/>
        </w:rPr>
        <w:t xml:space="preserve">River Valley Community College, “WORC Grant Scholarship,” </w:t>
      </w:r>
      <w:hyperlink r:id="rId18">
        <w:r w:rsidDel="00000000" w:rsidR="00000000" w:rsidRPr="00000000">
          <w:rPr>
            <w:color w:val="1155cc"/>
            <w:sz w:val="24"/>
            <w:szCs w:val="24"/>
            <w:highlight w:val="white"/>
            <w:u w:val="single"/>
            <w:rtl w:val="0"/>
          </w:rPr>
          <w:t xml:space="preserve">https://www.rivervalley.edu/worc-scholarship/</w:t>
        </w:r>
      </w:hyperlink>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Stefek, Jeremy, Corrie Christol, Tony R. Smith, Matthew Kotarbinski, Brinn McDowell. 2022. Defining the Wind Energy Workforce Gap. Golden, CO: National Renewable Energy Laboratory. NREL/TP-5000-82907. </w:t>
      </w:r>
      <w:hyperlink r:id="rId19">
        <w:r w:rsidDel="00000000" w:rsidR="00000000" w:rsidRPr="00000000">
          <w:rPr>
            <w:color w:val="1155cc"/>
            <w:sz w:val="24"/>
            <w:szCs w:val="24"/>
            <w:u w:val="single"/>
            <w:rtl w:val="0"/>
          </w:rPr>
          <w:t xml:space="preserve">https://www.nrel.gov/docs/fy23osti/82907.pdf</w:t>
        </w:r>
      </w:hyperlink>
      <w:r w:rsidDel="00000000" w:rsidR="00000000" w:rsidRPr="00000000">
        <w:rPr>
          <w:sz w:val="24"/>
          <w:szCs w:val="24"/>
          <w:rtl w:val="0"/>
        </w:rPr>
        <w:t xml:space="preserve">.</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The White House. “American Energy Dominance Is Back Under President Trump.” February 24, 2026. </w:t>
      </w:r>
      <w:hyperlink r:id="rId20">
        <w:r w:rsidDel="00000000" w:rsidR="00000000" w:rsidRPr="00000000">
          <w:rPr>
            <w:color w:val="1155cc"/>
            <w:sz w:val="24"/>
            <w:szCs w:val="24"/>
            <w:u w:val="single"/>
            <w:rtl w:val="0"/>
          </w:rPr>
          <w:t xml:space="preserve">https://www.whitehouse.gov/articles/2026/02/american-energy-dominance-is-back-under-president-trump</w:t>
        </w:r>
      </w:hyperlink>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color w:val="222222"/>
          <w:sz w:val="24"/>
          <w:szCs w:val="24"/>
          <w:highlight w:val="white"/>
          <w:rtl w:val="0"/>
        </w:rPr>
        <w:t xml:space="preserve">Union of Concerned Scientists. “The Hidden Costs of Fossil Fuels.” July 15, 2008. Updated April 18, 2025. </w:t>
      </w:r>
      <w:hyperlink r:id="rId21">
        <w:r w:rsidDel="00000000" w:rsidR="00000000" w:rsidRPr="00000000">
          <w:rPr>
            <w:color w:val="1155cc"/>
            <w:sz w:val="24"/>
            <w:szCs w:val="24"/>
            <w:highlight w:val="white"/>
            <w:u w:val="single"/>
            <w:rtl w:val="0"/>
          </w:rPr>
          <w:t xml:space="preserve">https://www.ucs.org/resources/hidden-costs-fossil-fuels</w:t>
        </w:r>
      </w:hyperlink>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color w:val="222222"/>
          <w:sz w:val="24"/>
          <w:szCs w:val="24"/>
          <w:highlight w:val="white"/>
          <w:rtl w:val="0"/>
        </w:rPr>
        <w:t xml:space="preserve">United Nations. “Renewable Energy.” </w:t>
      </w:r>
      <w:hyperlink r:id="rId22">
        <w:r w:rsidDel="00000000" w:rsidR="00000000" w:rsidRPr="00000000">
          <w:rPr>
            <w:color w:val="1155cc"/>
            <w:sz w:val="24"/>
            <w:szCs w:val="24"/>
            <w:highlight w:val="white"/>
            <w:u w:val="single"/>
            <w:rtl w:val="0"/>
          </w:rPr>
          <w:t xml:space="preserve">https://www.un.org/en/climatechange/raising-ambition/renewable-energy</w:t>
        </w:r>
      </w:hyperlink>
      <w:r w:rsidDel="00000000" w:rsidR="00000000" w:rsidRPr="00000000">
        <w:rPr>
          <w:rtl w:val="0"/>
        </w:rPr>
      </w:r>
    </w:p>
    <w:p w:rsidR="00000000" w:rsidDel="00000000" w:rsidP="00000000" w:rsidRDefault="00000000" w:rsidRPr="00000000" w14:paraId="0000004B">
      <w:pPr>
        <w:spacing w:after="240" w:before="240" w:lineRule="auto"/>
        <w:rPr>
          <w:sz w:val="24"/>
          <w:szCs w:val="24"/>
        </w:rPr>
      </w:pPr>
      <w:r w:rsidDel="00000000" w:rsidR="00000000" w:rsidRPr="00000000">
        <w:rPr>
          <w:sz w:val="24"/>
          <w:szCs w:val="24"/>
          <w:rtl w:val="0"/>
        </w:rPr>
        <w:t xml:space="preserve">United States Department of Energy. 2023. </w:t>
      </w:r>
      <w:r w:rsidDel="00000000" w:rsidR="00000000" w:rsidRPr="00000000">
        <w:rPr>
          <w:i w:val="1"/>
          <w:iCs w:val="1"/>
          <w:sz w:val="24"/>
          <w:szCs w:val="24"/>
          <w:rtl w:val="0"/>
        </w:rPr>
        <w:t xml:space="preserve">2023 Critical Materials Assessment</w:t>
      </w:r>
      <w:r w:rsidDel="00000000" w:rsidR="00000000" w:rsidRPr="00000000">
        <w:rPr>
          <w:sz w:val="24"/>
          <w:szCs w:val="24"/>
          <w:rtl w:val="0"/>
        </w:rPr>
        <w:t xml:space="preserve">. Washington, DC: U.S. Department of Energy.</w:t>
      </w:r>
      <w:hyperlink r:id="rId23">
        <w:r w:rsidDel="00000000" w:rsidR="00000000" w:rsidRPr="00000000">
          <w:rPr>
            <w:sz w:val="24"/>
            <w:szCs w:val="24"/>
            <w:rtl w:val="0"/>
          </w:rPr>
          <w:t xml:space="preserve"> </w:t>
        </w:r>
      </w:hyperlink>
      <w:hyperlink r:id="rId24">
        <w:r w:rsidDel="00000000" w:rsidR="00000000" w:rsidRPr="00000000">
          <w:rPr>
            <w:color w:val="1155cc"/>
            <w:sz w:val="24"/>
            <w:szCs w:val="24"/>
            <w:u w:val="single"/>
            <w:rtl w:val="0"/>
          </w:rPr>
          <w:t xml:space="preserve">https://www.energy.gov/sites/default/files/2023-05/2023-critical-materials-assessment.pdf</w:t>
        </w:r>
      </w:hyperlink>
      <w:r w:rsidDel="00000000" w:rsidR="00000000" w:rsidRPr="00000000">
        <w:rPr>
          <w:sz w:val="24"/>
          <w:szCs w:val="24"/>
          <w:rtl w:val="0"/>
        </w:rPr>
        <w:t xml:space="preserve">.</w:t>
      </w:r>
    </w:p>
    <w:p w:rsidR="00000000" w:rsidDel="00000000" w:rsidP="00000000" w:rsidRDefault="00000000" w:rsidRPr="00000000" w14:paraId="0000004C">
      <w:pPr>
        <w:spacing w:after="240" w:before="240" w:lineRule="auto"/>
        <w:rPr>
          <w:sz w:val="24"/>
          <w:szCs w:val="24"/>
        </w:rPr>
      </w:pPr>
      <w:r w:rsidDel="00000000" w:rsidR="00000000" w:rsidRPr="00000000">
        <w:rPr>
          <w:sz w:val="24"/>
          <w:szCs w:val="24"/>
          <w:rtl w:val="0"/>
        </w:rPr>
        <w:t xml:space="preserve">United States Department of Labor, Employment and Training Administration. n.d. “Grants: Apply and Find Opportunities.” </w:t>
      </w:r>
      <w:hyperlink r:id="rId25">
        <w:r w:rsidDel="00000000" w:rsidR="00000000" w:rsidRPr="00000000">
          <w:rPr>
            <w:color w:val="1155cc"/>
            <w:sz w:val="24"/>
            <w:szCs w:val="24"/>
            <w:u w:val="single"/>
            <w:rtl w:val="0"/>
          </w:rPr>
          <w:t xml:space="preserve">https://www.dol.gov/agencies/eta/grants/apply/find-opportunities</w:t>
        </w:r>
      </w:hyperlink>
      <w:r w:rsidDel="00000000" w:rsidR="00000000" w:rsidRPr="00000000">
        <w:rPr>
          <w:sz w:val="24"/>
          <w:szCs w:val="24"/>
          <w:rtl w:val="0"/>
        </w:rPr>
        <w:t xml:space="preserve">.</w:t>
      </w:r>
    </w:p>
    <w:p w:rsidR="00000000" w:rsidDel="00000000" w:rsidP="00000000" w:rsidRDefault="00000000" w:rsidRPr="00000000" w14:paraId="0000004D">
      <w:pPr>
        <w:rPr>
          <w:sz w:val="24"/>
          <w:szCs w:val="24"/>
        </w:rPr>
      </w:pPr>
      <w:r w:rsidDel="00000000" w:rsidR="00000000" w:rsidRPr="00000000">
        <w:rPr>
          <w:color w:val="222222"/>
          <w:sz w:val="24"/>
          <w:szCs w:val="24"/>
          <w:highlight w:val="white"/>
          <w:rtl w:val="0"/>
        </w:rPr>
        <w:t xml:space="preserve">U.S. Bureau of Labor Statistics. “Projections of Occupational Employment, 2016–26.” October 2017. </w:t>
      </w:r>
      <w:hyperlink r:id="rId26">
        <w:r w:rsidDel="00000000" w:rsidR="00000000" w:rsidRPr="00000000">
          <w:rPr>
            <w:color w:val="1155cc"/>
            <w:sz w:val="24"/>
            <w:szCs w:val="24"/>
            <w:highlight w:val="white"/>
            <w:u w:val="single"/>
            <w:rtl w:val="0"/>
          </w:rPr>
          <w:t xml:space="preserve">https://www.bls.gov/careeroutlook/2017/article/occupational-projections-charts.htm</w:t>
        </w:r>
      </w:hyperlink>
      <w:r w:rsidDel="00000000" w:rsidR="00000000" w:rsidRPr="00000000">
        <w:rPr>
          <w:rtl w:val="0"/>
        </w:rPr>
      </w:r>
    </w:p>
    <w:p w:rsidR="00000000" w:rsidDel="00000000" w:rsidP="00000000" w:rsidRDefault="00000000" w:rsidRPr="00000000" w14:paraId="0000004E">
      <w:pPr>
        <w:spacing w:after="240" w:before="240" w:lineRule="auto"/>
        <w:rPr>
          <w:sz w:val="24"/>
          <w:szCs w:val="24"/>
        </w:rPr>
      </w:pPr>
      <w:r w:rsidDel="00000000" w:rsidR="00000000" w:rsidRPr="00000000">
        <w:rPr>
          <w:sz w:val="24"/>
          <w:szCs w:val="24"/>
          <w:rtl w:val="0"/>
        </w:rPr>
        <w:t xml:space="preserve">U.S. Department of Energy, Office of Energy Efficiency and Renewable Energy, Wind Energy Technologies Office. 2024. </w:t>
      </w:r>
      <w:r w:rsidDel="00000000" w:rsidR="00000000" w:rsidRPr="00000000">
        <w:rPr>
          <w:i w:val="1"/>
          <w:iCs w:val="1"/>
          <w:sz w:val="24"/>
          <w:szCs w:val="24"/>
          <w:rtl w:val="0"/>
        </w:rPr>
        <w:t xml:space="preserve">National Wind Energy Workforce Assessment: Challenges, Opportunities, and Future Needs</w:t>
      </w:r>
      <w:r w:rsidDel="00000000" w:rsidR="00000000" w:rsidRPr="00000000">
        <w:rPr>
          <w:sz w:val="24"/>
          <w:szCs w:val="24"/>
          <w:rtl w:val="0"/>
        </w:rPr>
        <w:t xml:space="preserve">. Golden, CO: National Renewable Energy Laboratory.</w:t>
      </w:r>
      <w:hyperlink r:id="rId27">
        <w:r w:rsidDel="00000000" w:rsidR="00000000" w:rsidRPr="00000000">
          <w:rPr>
            <w:sz w:val="24"/>
            <w:szCs w:val="24"/>
            <w:rtl w:val="0"/>
          </w:rPr>
          <w:t xml:space="preserve"> </w:t>
        </w:r>
      </w:hyperlink>
      <w:hyperlink r:id="rId28">
        <w:r w:rsidDel="00000000" w:rsidR="00000000" w:rsidRPr="00000000">
          <w:rPr>
            <w:color w:val="1155cc"/>
            <w:sz w:val="24"/>
            <w:szCs w:val="24"/>
            <w:u w:val="single"/>
            <w:rtl w:val="0"/>
          </w:rPr>
          <w:t xml:space="preserve">https://docs.nrel.gov/docs/fy24osti/87529.pdf</w:t>
        </w:r>
      </w:hyperlink>
      <w:r w:rsidDel="00000000" w:rsidR="00000000" w:rsidRPr="00000000">
        <w:rPr>
          <w:sz w:val="24"/>
          <w:szCs w:val="24"/>
          <w:rtl w:val="0"/>
        </w:rPr>
        <w:t xml:space="preserve">.</w:t>
      </w:r>
    </w:p>
    <w:p w:rsidR="00000000" w:rsidDel="00000000" w:rsidP="00000000" w:rsidRDefault="00000000" w:rsidRPr="00000000" w14:paraId="0000004F">
      <w:pPr>
        <w:ind w:left="0" w:firstLine="0"/>
        <w:rPr>
          <w:sz w:val="24"/>
          <w:szCs w:val="24"/>
        </w:rPr>
      </w:pPr>
      <w:r w:rsidDel="00000000" w:rsidR="00000000" w:rsidRPr="00000000">
        <w:rPr>
          <w:rtl w:val="0"/>
        </w:rPr>
      </w:r>
    </w:p>
    <w:p w:rsidR="00000000" w:rsidDel="00000000" w:rsidP="00000000" w:rsidRDefault="00000000" w:rsidRPr="00000000" w14:paraId="00000050">
      <w:pPr>
        <w:ind w:left="0" w:firstLine="0"/>
        <w:rPr>
          <w:sz w:val="24"/>
          <w:szCs w:val="24"/>
        </w:rPr>
      </w:pPr>
      <w:r w:rsidDel="00000000" w:rsidR="00000000" w:rsidRPr="00000000">
        <w:rPr>
          <w:rtl w:val="0"/>
        </w:rPr>
      </w:r>
    </w:p>
    <w:p w:rsidR="00000000" w:rsidDel="00000000" w:rsidP="00000000" w:rsidRDefault="00000000" w:rsidRPr="00000000" w14:paraId="00000051">
      <w:pPr>
        <w:rPr>
          <w:color w:val="222222"/>
          <w:sz w:val="24"/>
          <w:szCs w:val="24"/>
          <w:highlight w:val="white"/>
        </w:rPr>
      </w:pPr>
      <w:r w:rsidDel="00000000" w:rsidR="00000000" w:rsidRPr="00000000">
        <w:rPr>
          <w:rtl w:val="0"/>
        </w:rPr>
      </w:r>
    </w:p>
    <w:p w:rsidR="00000000" w:rsidDel="00000000" w:rsidP="00000000" w:rsidRDefault="00000000" w:rsidRPr="00000000" w14:paraId="00000052">
      <w:pPr>
        <w:rPr>
          <w:rFonts w:ascii="Arial" w:cs="Arial" w:eastAsia="Arial" w:hAnsi="Arial"/>
          <w:color w:val="222222"/>
          <w:sz w:val="24"/>
          <w:szCs w:val="24"/>
          <w:highlight w:val="white"/>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jc w:val="center"/>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hd w:fill="ffffff" w:val="clear"/>
      <w:spacing w:before="180" w:line="240" w:lineRule="auto"/>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hd w:fill="ffffff" w:val="clear"/>
      <w:spacing w:after="120" w:before="180" w:lineRule="auto"/>
    </w:pPr>
    <w:rPr>
      <w:rFonts w:ascii="Times New Roman" w:cs="Times New Roman" w:eastAsia="Times New Roman" w:hAnsi="Times New Roman"/>
      <w:b w:val="1"/>
      <w:bCs w:val="1"/>
      <w:i w:val="1"/>
      <w:iCs w:val="1"/>
      <w:sz w:val="24"/>
      <w:szCs w:val="24"/>
    </w:rPr>
  </w:style>
  <w:style w:type="paragraph" w:styleId="Heading3">
    <w:name w:val="heading 3"/>
    <w:basedOn w:val="Normal"/>
    <w:next w:val="Normal"/>
    <w:pPr>
      <w:keepNext w:val="1"/>
      <w:keepLines w:val="1"/>
      <w:spacing w:after="80" w:before="320" w:lineRule="auto"/>
    </w:pPr>
    <w:rPr>
      <w:b w:val="1"/>
      <w:bCs w:val="1"/>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whitehouse.gov/articles/2026/02/american-energy-dominance-is-back-under-president-trump" TargetMode="External"/><Relationship Id="rId22" Type="http://schemas.openxmlformats.org/officeDocument/2006/relationships/hyperlink" Target="https://www.un.org/en/climatechange/raising-ambition/renewable-energy" TargetMode="External"/><Relationship Id="rId21" Type="http://schemas.openxmlformats.org/officeDocument/2006/relationships/hyperlink" Target="https://www.ucs.org/resources/hidden-costs-fossil-fuels" TargetMode="External"/><Relationship Id="rId24" Type="http://schemas.openxmlformats.org/officeDocument/2006/relationships/hyperlink" Target="https://www.energy.gov/sites/default/files/2023-05/2023-critical-materials-assessment.pdf" TargetMode="External"/><Relationship Id="rId23" Type="http://schemas.openxmlformats.org/officeDocument/2006/relationships/hyperlink" Target="https://www.energy.gov/sites/default/files/2023-05/2023-critical-materials-assessment.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ngress.gov/crs-product/R45171" TargetMode="External"/><Relationship Id="rId26" Type="http://schemas.openxmlformats.org/officeDocument/2006/relationships/hyperlink" Target="https://www.bls.gov/careeroutlook/2017/article/occupational-projections-charts.htm" TargetMode="External"/><Relationship Id="rId25" Type="http://schemas.openxmlformats.org/officeDocument/2006/relationships/hyperlink" Target="https://www.dol.gov/agencies/eta/grants/apply/find-opportunities" TargetMode="External"/><Relationship Id="rId28" Type="http://schemas.openxmlformats.org/officeDocument/2006/relationships/hyperlink" Target="https://docs.nrel.gov/docs/fy24osti/87529.pdf" TargetMode="External"/><Relationship Id="rId27" Type="http://schemas.openxmlformats.org/officeDocument/2006/relationships/hyperlink" Target="https://docs.nrel.gov/docs/fy24osti/87529.pdf" TargetMode="Externa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www.arc.gov/grants-and-opportunities/worc/" TargetMode="External"/><Relationship Id="rId11" Type="http://schemas.openxmlformats.org/officeDocument/2006/relationships/hyperlink" Target="https://www.grants.gov/search-results-detail/353004" TargetMode="External"/><Relationship Id="rId10" Type="http://schemas.openxmlformats.org/officeDocument/2006/relationships/hyperlink" Target="https://energyfundsforall.org/state-based-home-energy-efficiency-contractor-training-grants/" TargetMode="External"/><Relationship Id="rId13" Type="http://schemas.openxmlformats.org/officeDocument/2006/relationships/hyperlink" Target="https://www.wri.org/insights/state-clean-energy-charted" TargetMode="External"/><Relationship Id="rId12" Type="http://schemas.openxmlformats.org/officeDocument/2006/relationships/hyperlink" Target="https://www.mckinsey.com/capabilities/people-and-organizational-performance/our-insights/tradespeople-wanted-the-need-for-critical-trade-skills-in-the-us" TargetMode="External"/><Relationship Id="rId15" Type="http://schemas.openxmlformats.org/officeDocument/2006/relationships/hyperlink" Target="https://www.brookings.edu/wp-content/uploads/2019/04/2019.04_metro_Clean-Energy-Jobs_Report_Muro-Tomer-Shivaran-Kane_updated.pdf" TargetMode="External"/><Relationship Id="rId14" Type="http://schemas.openxmlformats.org/officeDocument/2006/relationships/hyperlink" Target="https://docs.nrel.gov/docs/fy24osti/87522.pdf" TargetMode="External"/><Relationship Id="rId17" Type="http://schemas.openxmlformats.org/officeDocument/2006/relationships/hyperlink" Target="https://doi.org/10.5194/wes-10-2351-2025" TargetMode="External"/><Relationship Id="rId16" Type="http://schemas.openxmlformats.org/officeDocument/2006/relationships/hyperlink" Target="https://www.brookings.edu/wp-content/uploads/2019/04/2019.04_metro_Clean-Energy-Jobs_Report_Muro-Tomer-Shivaran-Kane_updated.pdf" TargetMode="External"/><Relationship Id="rId19" Type="http://schemas.openxmlformats.org/officeDocument/2006/relationships/hyperlink" Target="https://www.nrel.gov/docs/fy23osti/82907.pdf" TargetMode="External"/><Relationship Id="rId18" Type="http://schemas.openxmlformats.org/officeDocument/2006/relationships/hyperlink" Target="https://www.rivervalley.edu/worc-schola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